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Legalizacja tachografu i wynikające z niej korzyści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Mijają już dwa lata od momentu wejścia w życie ustawy dotyczącej wprowadzenia nowych inteligentnych tachografów. Od tamtej pory producenci samochodów ciężarowych są zobowiązani do wdrażania tychże urządzeń w swoich pojazdach. Niemniej jednak w przypadku pozostałych ciężarówek wymagana jest wymiana i jednocześnie legalizacja tachografu. Oto co trzeba wiedzieć na temat wdrożonej nowości.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przepisy ułatwiają pracę kilku podmiotów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Legalizacja tachografu</w:t>
      </w:r>
      <w:r>
        <w:rPr>
          <w:rFonts w:ascii="calibri" w:hAnsi="calibri" w:eastAsia="calibri" w:cs="calibri"/>
          <w:sz w:val="24"/>
          <w:szCs w:val="24"/>
        </w:rPr>
        <w:t xml:space="preserve"> ma na celu ułatwienie kilku podmiotom wykonywanie swoich obowiązków. Z perspektywy policji jest o tyle istotna, aby można było z łatwością dokonywać kontroli pojazdu poprzez zdalne sprawdzenie urządzenia. W ten sposób nie ma konieczności zatrzymywania kierowcy w celu rutynowego sprawdzenia wszelkich kwestii związanych z wykonywanym transportem. W ten sposób kierowca musi dostosować się do obowiązujących przepisów i podróżować bezpiecznie z wydzielonym odpowiednim czasem na regenerację. Z punktu widzenia pracodawcy nowoczesne tachografy umożliwiają sprawdzenie realnego czasu pracy oraz jazdy kierowcy.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Legalizacja tachografu usprawnia obecny transport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zaobserwować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legalizacja tachografu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najnowsze przepisy dotyczące montażu nowoczesnych urządzeń przynoszą wiele korzyści związanych z procesem transportu. Najnowsze tachografu umożliwiają przeprowadzenie wielu czynności w sposób zdalny. Obecnie nie stanowi najmniejszego problemu kontrola wskazań urządzenia, czy chociażby określenie położenia na podstawie sygnału GPS. Tachografy 4.0 obowiązują w świetle prawa od czerwca 2019 roku, dlatego też w przypadku nieco starszych pojazdów niezbędna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legalizacja tachografu</w:t>
      </w:r>
      <w:r>
        <w:rPr>
          <w:rFonts w:ascii="calibri" w:hAnsi="calibri" w:eastAsia="calibri" w:cs="calibri"/>
          <w:sz w:val="24"/>
          <w:szCs w:val="24"/>
        </w:rPr>
        <w:t xml:space="preserve"> z dostosowaniem do obecnie panujących przepisów. Tego typu zadań podejmuje się na co dzień serwis Sobiesław Zasada Automotive. Zachęcamy do odwiedzenia strony internetowej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serwis-i-legalizacja-nowych-tachografow-dtco-4-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2026-06-11T05:12:29+02:00</dcterms:created>
  <dcterms:modified xsi:type="dcterms:W3CDTF">2026-06-11T05:12:29+02:00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